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606E2" w14:textId="77777777" w:rsidR="003F4134" w:rsidRDefault="00000000">
      <w:pPr>
        <w:pStyle w:val="ParagraphTextStyle"/>
      </w:pPr>
      <w:r>
        <w:t>Measuring the impact of Employee Resource Groups (ERGs) is crucial for understanding their effectiveness and ensuring they contribute positively to the organization. Here are some key methods organizations can use to measure the impact of ERGs:</w:t>
      </w:r>
    </w:p>
    <w:p w14:paraId="18A2EC89" w14:textId="77777777" w:rsidR="003F4134" w:rsidRDefault="00000000">
      <w:pPr>
        <w:pStyle w:val="ParagraphTextStyle"/>
        <w:numPr>
          <w:ilvl w:val="0"/>
          <w:numId w:val="2"/>
        </w:numPr>
      </w:pPr>
      <w:r>
        <w:rPr>
          <w:b/>
          <w:bCs/>
        </w:rPr>
        <w:t>Participation Rates</w:t>
      </w:r>
    </w:p>
    <w:p w14:paraId="3D5914D8" w14:textId="77777777" w:rsidR="003F4134" w:rsidRDefault="00000000">
      <w:pPr>
        <w:pStyle w:val="ParagraphTextStyle"/>
        <w:numPr>
          <w:ilvl w:val="1"/>
          <w:numId w:val="1"/>
        </w:numPr>
      </w:pPr>
      <w:r>
        <w:t>Track the number of employees who join and actively participate in ERG activities. High participation rates often indicate that the ERG is meeting the needs and interests of employees</w:t>
      </w:r>
      <w:hyperlink r:id="rId7" w:history="1">
        <w:r>
          <w:rPr>
            <w:b/>
            <w:bCs/>
            <w:color w:val="174AE4"/>
            <w:sz w:val="20"/>
            <w:szCs w:val="20"/>
            <w:vertAlign w:val="superscript"/>
          </w:rPr>
          <w:t>6</w:t>
        </w:r>
      </w:hyperlink>
      <w:r>
        <w:t>.</w:t>
      </w:r>
    </w:p>
    <w:p w14:paraId="1D816A7A" w14:textId="77777777" w:rsidR="003F4134" w:rsidRDefault="00000000">
      <w:pPr>
        <w:pStyle w:val="ParagraphTextStyle"/>
        <w:numPr>
          <w:ilvl w:val="0"/>
          <w:numId w:val="2"/>
        </w:numPr>
      </w:pPr>
      <w:r>
        <w:rPr>
          <w:b/>
          <w:bCs/>
        </w:rPr>
        <w:t>Engagement Surveys</w:t>
      </w:r>
    </w:p>
    <w:p w14:paraId="08DE9328" w14:textId="77777777" w:rsidR="003F4134" w:rsidRDefault="00000000">
      <w:pPr>
        <w:pStyle w:val="ParagraphTextStyle"/>
        <w:numPr>
          <w:ilvl w:val="1"/>
          <w:numId w:val="1"/>
        </w:numPr>
      </w:pPr>
      <w:r>
        <w:t>Conduct regular surveys to assess the level of engagement and satisfaction among ERG members. Questions can focus on how included and supported members feel, as well as their overall experience with the ERG</w:t>
      </w:r>
      <w:hyperlink r:id="rId8" w:history="1">
        <w:r>
          <w:rPr>
            <w:b/>
            <w:bCs/>
            <w:color w:val="174AE4"/>
            <w:sz w:val="20"/>
            <w:szCs w:val="20"/>
            <w:vertAlign w:val="superscript"/>
          </w:rPr>
          <w:t>7</w:t>
        </w:r>
      </w:hyperlink>
      <w:r>
        <w:t>.</w:t>
      </w:r>
    </w:p>
    <w:p w14:paraId="5DC007EC" w14:textId="77777777" w:rsidR="003F4134" w:rsidRDefault="00000000">
      <w:pPr>
        <w:pStyle w:val="ParagraphTextStyle"/>
        <w:numPr>
          <w:ilvl w:val="0"/>
          <w:numId w:val="2"/>
        </w:numPr>
      </w:pPr>
      <w:r>
        <w:rPr>
          <w:b/>
          <w:bCs/>
        </w:rPr>
        <w:t>Event Attendance</w:t>
      </w:r>
    </w:p>
    <w:p w14:paraId="2AFCD0E3" w14:textId="77777777" w:rsidR="003F4134" w:rsidRDefault="00000000">
      <w:pPr>
        <w:pStyle w:val="ParagraphTextStyle"/>
        <w:numPr>
          <w:ilvl w:val="1"/>
          <w:numId w:val="1"/>
        </w:numPr>
      </w:pPr>
      <w:r>
        <w:t>Monitor attendance at ERG events and activities. High attendance can be a sign of the ERG’s relevance and appeal to its members</w:t>
      </w:r>
      <w:hyperlink r:id="rId9" w:history="1">
        <w:r>
          <w:rPr>
            <w:b/>
            <w:bCs/>
            <w:color w:val="174AE4"/>
            <w:sz w:val="20"/>
            <w:szCs w:val="20"/>
            <w:vertAlign w:val="superscript"/>
          </w:rPr>
          <w:t>7</w:t>
        </w:r>
      </w:hyperlink>
      <w:r>
        <w:t>.</w:t>
      </w:r>
    </w:p>
    <w:p w14:paraId="3FE65A60" w14:textId="77777777" w:rsidR="003F4134" w:rsidRDefault="00000000">
      <w:pPr>
        <w:pStyle w:val="ParagraphTextStyle"/>
        <w:numPr>
          <w:ilvl w:val="0"/>
          <w:numId w:val="2"/>
        </w:numPr>
      </w:pPr>
      <w:r>
        <w:rPr>
          <w:b/>
          <w:bCs/>
        </w:rPr>
        <w:t>Feedback and Testimonials</w:t>
      </w:r>
    </w:p>
    <w:p w14:paraId="0325DA6A" w14:textId="77777777" w:rsidR="003F4134" w:rsidRDefault="00000000">
      <w:pPr>
        <w:pStyle w:val="ParagraphTextStyle"/>
        <w:numPr>
          <w:ilvl w:val="1"/>
          <w:numId w:val="1"/>
        </w:numPr>
      </w:pPr>
      <w:r>
        <w:t>Collect qualitative feedback and testimonials from ERG members about their experiences. This can provide insights into the ERG’s impact on individual employees and the broader organizational culture</w:t>
      </w:r>
      <w:hyperlink r:id="rId10" w:history="1">
        <w:r>
          <w:rPr>
            <w:b/>
            <w:bCs/>
            <w:color w:val="174AE4"/>
            <w:sz w:val="20"/>
            <w:szCs w:val="20"/>
            <w:vertAlign w:val="superscript"/>
          </w:rPr>
          <w:t>8</w:t>
        </w:r>
      </w:hyperlink>
      <w:r>
        <w:t>.</w:t>
      </w:r>
    </w:p>
    <w:p w14:paraId="5E38B733" w14:textId="77777777" w:rsidR="003F4134" w:rsidRDefault="00000000">
      <w:pPr>
        <w:pStyle w:val="ParagraphTextStyle"/>
        <w:numPr>
          <w:ilvl w:val="0"/>
          <w:numId w:val="2"/>
        </w:numPr>
      </w:pPr>
      <w:r>
        <w:rPr>
          <w:b/>
          <w:bCs/>
        </w:rPr>
        <w:t>Career Progression</w:t>
      </w:r>
    </w:p>
    <w:p w14:paraId="40D8FD31" w14:textId="77777777" w:rsidR="003F4134" w:rsidRDefault="00000000">
      <w:pPr>
        <w:pStyle w:val="ParagraphTextStyle"/>
        <w:numPr>
          <w:ilvl w:val="1"/>
          <w:numId w:val="1"/>
        </w:numPr>
      </w:pPr>
      <w:r>
        <w:t>Track the career progression of ERG members. This includes promotions, skill development, and leadership opportunities that may have been facilitated by ERG involvement</w:t>
      </w:r>
      <w:hyperlink r:id="rId11" w:history="1">
        <w:r>
          <w:rPr>
            <w:b/>
            <w:bCs/>
            <w:color w:val="174AE4"/>
            <w:sz w:val="20"/>
            <w:szCs w:val="20"/>
            <w:vertAlign w:val="superscript"/>
          </w:rPr>
          <w:t>9</w:t>
        </w:r>
      </w:hyperlink>
      <w:r>
        <w:t>.</w:t>
      </w:r>
    </w:p>
    <w:p w14:paraId="5F760D3A" w14:textId="77777777" w:rsidR="003F4134" w:rsidRDefault="00000000">
      <w:pPr>
        <w:pStyle w:val="ParagraphTextStyle"/>
        <w:numPr>
          <w:ilvl w:val="0"/>
          <w:numId w:val="2"/>
        </w:numPr>
      </w:pPr>
      <w:r>
        <w:rPr>
          <w:b/>
          <w:bCs/>
        </w:rPr>
        <w:t>Retention Rates</w:t>
      </w:r>
    </w:p>
    <w:p w14:paraId="4EE64E66" w14:textId="77777777" w:rsidR="003F4134" w:rsidRDefault="00000000">
      <w:pPr>
        <w:pStyle w:val="ParagraphTextStyle"/>
        <w:numPr>
          <w:ilvl w:val="1"/>
          <w:numId w:val="1"/>
        </w:numPr>
      </w:pPr>
      <w:r>
        <w:t>Compare retention rates of ERG members with non-members. Higher retention rates among ERG members can indicate that the ERG is contributing to employee satisfaction and loyalty</w:t>
      </w:r>
      <w:hyperlink r:id="rId12" w:history="1">
        <w:r>
          <w:rPr>
            <w:b/>
            <w:bCs/>
            <w:color w:val="174AE4"/>
            <w:sz w:val="20"/>
            <w:szCs w:val="20"/>
            <w:vertAlign w:val="superscript"/>
          </w:rPr>
          <w:t>7</w:t>
        </w:r>
      </w:hyperlink>
      <w:r>
        <w:t>.</w:t>
      </w:r>
    </w:p>
    <w:p w14:paraId="745A8135" w14:textId="77777777" w:rsidR="003F4134" w:rsidRDefault="00000000">
      <w:pPr>
        <w:pStyle w:val="ParagraphTextStyle"/>
        <w:numPr>
          <w:ilvl w:val="0"/>
          <w:numId w:val="2"/>
        </w:numPr>
      </w:pPr>
      <w:r>
        <w:rPr>
          <w:b/>
          <w:bCs/>
        </w:rPr>
        <w:t>Diversity Metrics</w:t>
      </w:r>
    </w:p>
    <w:p w14:paraId="4F1BCC82" w14:textId="77777777" w:rsidR="003F4134" w:rsidRDefault="00000000">
      <w:pPr>
        <w:pStyle w:val="ParagraphTextStyle"/>
        <w:numPr>
          <w:ilvl w:val="1"/>
          <w:numId w:val="1"/>
        </w:numPr>
      </w:pPr>
      <w:r>
        <w:lastRenderedPageBreak/>
        <w:t>Analyze diversity metrics within the organization, such as the representation of different demographic groups in various roles and levels. ERGs can play a role in improving these metrics by advocating for diversity and inclusion</w:t>
      </w:r>
      <w:hyperlink r:id="rId13" w:history="1">
        <w:r>
          <w:rPr>
            <w:b/>
            <w:bCs/>
            <w:color w:val="174AE4"/>
            <w:sz w:val="20"/>
            <w:szCs w:val="20"/>
            <w:vertAlign w:val="superscript"/>
          </w:rPr>
          <w:t>9</w:t>
        </w:r>
      </w:hyperlink>
      <w:r>
        <w:t>.</w:t>
      </w:r>
    </w:p>
    <w:p w14:paraId="7881739C" w14:textId="77777777" w:rsidR="003F4134" w:rsidRDefault="00000000">
      <w:pPr>
        <w:pStyle w:val="ParagraphTextStyle"/>
        <w:numPr>
          <w:ilvl w:val="0"/>
          <w:numId w:val="2"/>
        </w:numPr>
      </w:pPr>
      <w:r>
        <w:rPr>
          <w:b/>
          <w:bCs/>
        </w:rPr>
        <w:t>Impact on Organizational Goals</w:t>
      </w:r>
    </w:p>
    <w:p w14:paraId="193D2674" w14:textId="77777777" w:rsidR="003F4134" w:rsidRDefault="00000000">
      <w:pPr>
        <w:pStyle w:val="ParagraphTextStyle"/>
        <w:numPr>
          <w:ilvl w:val="1"/>
          <w:numId w:val="1"/>
        </w:numPr>
      </w:pPr>
      <w:r>
        <w:t>Align ERG activities with broader organizational goals and measure their contribution. For example, if the organization aims to improve employee engagement or foster innovation, assess how ERG initiatives support these objectives</w:t>
      </w:r>
      <w:hyperlink r:id="rId14" w:history="1">
        <w:r>
          <w:rPr>
            <w:b/>
            <w:bCs/>
            <w:color w:val="174AE4"/>
            <w:sz w:val="20"/>
            <w:szCs w:val="20"/>
            <w:vertAlign w:val="superscript"/>
          </w:rPr>
          <w:t>7</w:t>
        </w:r>
      </w:hyperlink>
      <w:r>
        <w:t>.</w:t>
      </w:r>
    </w:p>
    <w:p w14:paraId="59F8F081" w14:textId="77777777" w:rsidR="003F4134" w:rsidRDefault="00000000">
      <w:pPr>
        <w:pStyle w:val="ParagraphTextStyle"/>
        <w:numPr>
          <w:ilvl w:val="0"/>
          <w:numId w:val="2"/>
        </w:numPr>
      </w:pPr>
      <w:r>
        <w:rPr>
          <w:b/>
          <w:bCs/>
        </w:rPr>
        <w:t>Resource Utilization</w:t>
      </w:r>
    </w:p>
    <w:p w14:paraId="3E2F5FD4" w14:textId="77777777" w:rsidR="003F4134" w:rsidRDefault="00000000">
      <w:pPr>
        <w:pStyle w:val="ParagraphTextStyle"/>
        <w:numPr>
          <w:ilvl w:val="1"/>
          <w:numId w:val="1"/>
        </w:numPr>
      </w:pPr>
      <w:r>
        <w:t>Evaluate how effectively ERGs use their allocated resources, including budget, time, and personnel. Efficient resource utilization can be a sign of a well-managed ERG</w:t>
      </w:r>
      <w:hyperlink r:id="rId15" w:history="1">
        <w:r>
          <w:rPr>
            <w:b/>
            <w:bCs/>
            <w:color w:val="174AE4"/>
            <w:sz w:val="20"/>
            <w:szCs w:val="20"/>
            <w:vertAlign w:val="superscript"/>
          </w:rPr>
          <w:t>6</w:t>
        </w:r>
      </w:hyperlink>
      <w:r>
        <w:t>.</w:t>
      </w:r>
    </w:p>
    <w:p w14:paraId="3A7C0F20" w14:textId="77777777" w:rsidR="003F4134" w:rsidRDefault="00000000">
      <w:pPr>
        <w:pStyle w:val="ParagraphTextStyle"/>
        <w:numPr>
          <w:ilvl w:val="0"/>
          <w:numId w:val="2"/>
        </w:numPr>
      </w:pPr>
      <w:r>
        <w:rPr>
          <w:b/>
          <w:bCs/>
        </w:rPr>
        <w:t>Community and Brand Impact</w:t>
      </w:r>
    </w:p>
    <w:p w14:paraId="445D0090" w14:textId="77777777" w:rsidR="003F4134" w:rsidRDefault="00000000">
      <w:pPr>
        <w:pStyle w:val="ParagraphTextStyle"/>
        <w:numPr>
          <w:ilvl w:val="1"/>
          <w:numId w:val="1"/>
        </w:numPr>
      </w:pPr>
      <w:r>
        <w:t>Assess the ERG’s impact on the organization’s brand and community presence. This can include external recognition, partnerships, and the ERG’s role in corporate social responsibility initiatives</w:t>
      </w:r>
      <w:hyperlink r:id="rId16" w:history="1">
        <w:r>
          <w:rPr>
            <w:b/>
            <w:bCs/>
            <w:color w:val="174AE4"/>
            <w:sz w:val="20"/>
            <w:szCs w:val="20"/>
            <w:vertAlign w:val="superscript"/>
          </w:rPr>
          <w:t>7</w:t>
        </w:r>
      </w:hyperlink>
      <w:r>
        <w:t>.</w:t>
      </w:r>
    </w:p>
    <w:p w14:paraId="3EEB6828" w14:textId="77777777" w:rsidR="003F4134" w:rsidRDefault="00000000">
      <w:pPr>
        <w:pStyle w:val="ParagraphTextStyle"/>
      </w:pPr>
      <w:r>
        <w:t>By using a combination of these methods, organizations can gain a comprehensive understanding of the impact of their ERGs and make data-driven decisions to enhance their effectiveness.</w:t>
      </w:r>
    </w:p>
    <w:p w14:paraId="6807AA2F" w14:textId="77777777" w:rsidR="003F4134" w:rsidRDefault="00000000">
      <w:pPr>
        <w:pStyle w:val="ParagraphTextStyle"/>
      </w:pPr>
      <w:r>
        <w:t>Is there a specific metric or aspect of ERG impact you’re particularly interested in?</w:t>
      </w:r>
    </w:p>
    <w:p w14:paraId="0918BD3F" w14:textId="77777777" w:rsidR="003F4134" w:rsidRDefault="00000000">
      <w:pPr>
        <w:pStyle w:val="ParagraphTextStyle"/>
        <w:pBdr>
          <w:top w:val="single" w:sz="8" w:space="10" w:color="D9D9D9"/>
        </w:pBdr>
      </w:pPr>
      <w:r>
        <w:t>Source(s)</w:t>
      </w:r>
    </w:p>
    <w:p w14:paraId="1520CA25" w14:textId="77777777" w:rsidR="003F4134" w:rsidRDefault="00000000">
      <w:pPr>
        <w:pStyle w:val="CitationStyle"/>
      </w:pPr>
      <w:r>
        <w:t xml:space="preserve">1. </w:t>
      </w:r>
      <w:hyperlink r:id="rId17" w:history="1">
        <w:r>
          <w:rPr>
            <w:rStyle w:val="Hyperlink"/>
          </w:rPr>
          <w:t xml:space="preserve">How to Measure Success for an ERG: 6 ERG Metrics and KPIs - </w:t>
        </w:r>
        <w:proofErr w:type="spellStart"/>
        <w:r>
          <w:rPr>
            <w:rStyle w:val="Hyperlink"/>
          </w:rPr>
          <w:t>Diverst</w:t>
        </w:r>
        <w:proofErr w:type="spellEnd"/>
      </w:hyperlink>
    </w:p>
    <w:p w14:paraId="25F7A005" w14:textId="77777777" w:rsidR="003F4134" w:rsidRDefault="00000000">
      <w:pPr>
        <w:pStyle w:val="CitationStyle"/>
      </w:pPr>
      <w:r>
        <w:t xml:space="preserve">2. </w:t>
      </w:r>
      <w:hyperlink r:id="rId18" w:history="1">
        <w:r>
          <w:rPr>
            <w:rStyle w:val="Hyperlink"/>
          </w:rPr>
          <w:t>5 Tips to Measure ERG Program Success and Communicate Impact</w:t>
        </w:r>
      </w:hyperlink>
    </w:p>
    <w:p w14:paraId="27C2AA99" w14:textId="77777777" w:rsidR="003F4134" w:rsidRDefault="00000000">
      <w:pPr>
        <w:pStyle w:val="CitationStyle"/>
      </w:pPr>
      <w:r>
        <w:t xml:space="preserve">3. </w:t>
      </w:r>
      <w:hyperlink r:id="rId19" w:history="1">
        <w:r>
          <w:rPr>
            <w:rStyle w:val="Hyperlink"/>
          </w:rPr>
          <w:t>Measuring the Success of Your Employee Resource Groups - Board.org</w:t>
        </w:r>
      </w:hyperlink>
    </w:p>
    <w:p w14:paraId="72176DB2" w14:textId="77777777" w:rsidR="003F4134" w:rsidRDefault="00000000">
      <w:pPr>
        <w:pStyle w:val="CitationStyle"/>
      </w:pPr>
      <w:r>
        <w:t xml:space="preserve">4. </w:t>
      </w:r>
      <w:hyperlink r:id="rId20" w:history="1">
        <w:r>
          <w:rPr>
            <w:rStyle w:val="Hyperlink"/>
          </w:rPr>
          <w:t xml:space="preserve">Power </w:t>
        </w:r>
        <w:proofErr w:type="gramStart"/>
        <w:r>
          <w:rPr>
            <w:rStyle w:val="Hyperlink"/>
          </w:rPr>
          <w:t>Of</w:t>
        </w:r>
        <w:proofErr w:type="gramEnd"/>
        <w:r>
          <w:rPr>
            <w:rStyle w:val="Hyperlink"/>
          </w:rPr>
          <w:t xml:space="preserve"> Employee Resource Groups (ERGs): HR Guide To Fostering ...</w:t>
        </w:r>
      </w:hyperlink>
    </w:p>
    <w:p w14:paraId="07D835C3" w14:textId="77777777" w:rsidR="003F4134" w:rsidRDefault="00000000">
      <w:pPr>
        <w:pStyle w:val="CitationStyle"/>
      </w:pPr>
      <w:r>
        <w:t xml:space="preserve">5. </w:t>
      </w:r>
      <w:hyperlink r:id="rId21" w:history="1">
        <w:r>
          <w:rPr>
            <w:rStyle w:val="Hyperlink"/>
          </w:rPr>
          <w:t>Effective employee resource groups are key to inclusion at work. Here’s ...</w:t>
        </w:r>
      </w:hyperlink>
    </w:p>
    <w:p w14:paraId="0C932321" w14:textId="77777777" w:rsidR="003F4134" w:rsidRDefault="00000000">
      <w:pPr>
        <w:pStyle w:val="CitationStyle"/>
      </w:pPr>
      <w:r>
        <w:t xml:space="preserve">6. </w:t>
      </w:r>
      <w:hyperlink r:id="rId22" w:history="1">
        <w:r>
          <w:rPr>
            <w:rStyle w:val="Hyperlink"/>
          </w:rPr>
          <w:t>The role of employee resource groups (ERG) in driving DEI | Culture Amp</w:t>
        </w:r>
      </w:hyperlink>
    </w:p>
    <w:p w14:paraId="03B75FB1" w14:textId="77777777" w:rsidR="003F4134" w:rsidRDefault="00000000">
      <w:pPr>
        <w:pStyle w:val="CitationStyle"/>
      </w:pPr>
      <w:r>
        <w:t xml:space="preserve">7. </w:t>
      </w:r>
      <w:hyperlink r:id="rId23" w:history="1">
        <w:r>
          <w:rPr>
            <w:rStyle w:val="Hyperlink"/>
          </w:rPr>
          <w:t>The Ultimate Guide to Employee Resource Groups (ERGs) | Candor</w:t>
        </w:r>
      </w:hyperlink>
    </w:p>
    <w:p w14:paraId="2CDEAD58" w14:textId="77777777" w:rsidR="003F4134" w:rsidRDefault="00000000">
      <w:pPr>
        <w:pStyle w:val="CitationStyle"/>
      </w:pPr>
      <w:r>
        <w:t xml:space="preserve">8. </w:t>
      </w:r>
      <w:hyperlink r:id="rId24" w:history="1">
        <w:r>
          <w:rPr>
            <w:rStyle w:val="Hyperlink"/>
          </w:rPr>
          <w:t>What does ERG stands for in ERG theory of leadership? - River</w:t>
        </w:r>
      </w:hyperlink>
    </w:p>
    <w:p w14:paraId="75ACCA9A" w14:textId="77777777" w:rsidR="003F4134" w:rsidRDefault="00000000">
      <w:pPr>
        <w:pStyle w:val="CitationStyle"/>
      </w:pPr>
      <w:r>
        <w:t xml:space="preserve">9. </w:t>
      </w:r>
      <w:hyperlink r:id="rId25" w:history="1">
        <w:r>
          <w:rPr>
            <w:rStyle w:val="Hyperlink"/>
          </w:rPr>
          <w:t>ERGs: Maximizing the Impact of Employee Resource Groups</w:t>
        </w:r>
      </w:hyperlink>
    </w:p>
    <w:p w14:paraId="00E57AA6" w14:textId="77777777" w:rsidR="003F4134" w:rsidRDefault="003F4134">
      <w:pPr>
        <w:pStyle w:val="ParagraphTextStyle"/>
      </w:pPr>
    </w:p>
    <w:sectPr w:rsidR="003F4134" w:rsidSect="00270237">
      <w:headerReference w:type="default" r:id="rId26"/>
      <w:pgSz w:w="11906" w:h="16838"/>
      <w:pgMar w:top="29" w:right="1440" w:bottom="1440" w:left="1440" w:header="706"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7E495" w14:textId="77777777" w:rsidR="00233977" w:rsidRDefault="00233977">
      <w:r>
        <w:separator/>
      </w:r>
    </w:p>
  </w:endnote>
  <w:endnote w:type="continuationSeparator" w:id="0">
    <w:p w14:paraId="217B56B3" w14:textId="77777777" w:rsidR="00233977" w:rsidRDefault="0023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7FFA1" w14:textId="77777777" w:rsidR="00233977" w:rsidRDefault="00233977">
      <w:r>
        <w:separator/>
      </w:r>
    </w:p>
  </w:footnote>
  <w:footnote w:type="continuationSeparator" w:id="0">
    <w:p w14:paraId="0F20CE88" w14:textId="77777777" w:rsidR="00233977" w:rsidRDefault="0023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39610" w14:textId="77777777" w:rsidR="00270237" w:rsidRDefault="00270237" w:rsidP="00270237">
    <w:pPr>
      <w:pStyle w:val="HeaderStyle"/>
      <w:jc w:val="center"/>
      <w:rPr>
        <w:b/>
        <w:bCs/>
        <w:sz w:val="28"/>
        <w:szCs w:val="28"/>
      </w:rPr>
    </w:pPr>
    <w:r>
      <w:rPr>
        <w:b/>
        <w:bCs/>
        <w:sz w:val="28"/>
        <w:szCs w:val="28"/>
      </w:rPr>
      <w:t xml:space="preserve">Key Methods for Measuring the Impact of </w:t>
    </w:r>
  </w:p>
  <w:p w14:paraId="4412CB30" w14:textId="2EA6F9A2" w:rsidR="003F4134" w:rsidRPr="00270237" w:rsidRDefault="00270237" w:rsidP="00270237">
    <w:pPr>
      <w:pStyle w:val="HeaderStyle"/>
      <w:jc w:val="center"/>
      <w:rPr>
        <w:b/>
        <w:bCs/>
        <w:sz w:val="28"/>
        <w:szCs w:val="28"/>
      </w:rPr>
    </w:pPr>
    <w:r>
      <w:rPr>
        <w:b/>
        <w:bCs/>
        <w:sz w:val="28"/>
        <w:szCs w:val="28"/>
      </w:rPr>
      <w:t>Employee Resource Groups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6267"/>
    <w:multiLevelType w:val="hybridMultilevel"/>
    <w:tmpl w:val="C1AEA274"/>
    <w:lvl w:ilvl="0" w:tplc="B2D8AD9E">
      <w:start w:val="1"/>
      <w:numFmt w:val="decimal"/>
      <w:lvlText w:val="%1."/>
      <w:lvlJc w:val="left"/>
      <w:pPr>
        <w:ind w:left="720" w:hanging="259"/>
      </w:pPr>
    </w:lvl>
    <w:lvl w:ilvl="1" w:tplc="2E62C254">
      <w:start w:val="1"/>
      <w:numFmt w:val="lowerLetter"/>
      <w:lvlText w:val="%2."/>
      <w:lvlJc w:val="left"/>
      <w:pPr>
        <w:ind w:left="1080" w:hanging="259"/>
      </w:pPr>
    </w:lvl>
    <w:lvl w:ilvl="2" w:tplc="A934DEC0">
      <w:start w:val="1"/>
      <w:numFmt w:val="upperLetter"/>
      <w:lvlText w:val="%3)"/>
      <w:lvlJc w:val="left"/>
      <w:pPr>
        <w:ind w:left="1440" w:hanging="259"/>
      </w:pPr>
    </w:lvl>
    <w:lvl w:ilvl="3" w:tplc="233AB0CC">
      <w:start w:val="1"/>
      <w:numFmt w:val="upperRoman"/>
      <w:lvlText w:val="%4)"/>
      <w:lvlJc w:val="left"/>
      <w:pPr>
        <w:ind w:left="2880" w:hanging="2420"/>
      </w:pPr>
    </w:lvl>
    <w:lvl w:ilvl="4" w:tplc="31E81BF4">
      <w:numFmt w:val="decimal"/>
      <w:lvlText w:val=""/>
      <w:lvlJc w:val="left"/>
    </w:lvl>
    <w:lvl w:ilvl="5" w:tplc="BC9429D6">
      <w:numFmt w:val="decimal"/>
      <w:lvlText w:val=""/>
      <w:lvlJc w:val="left"/>
    </w:lvl>
    <w:lvl w:ilvl="6" w:tplc="45808E18">
      <w:numFmt w:val="decimal"/>
      <w:lvlText w:val=""/>
      <w:lvlJc w:val="left"/>
    </w:lvl>
    <w:lvl w:ilvl="7" w:tplc="AD5C3752">
      <w:numFmt w:val="decimal"/>
      <w:lvlText w:val=""/>
      <w:lvlJc w:val="left"/>
    </w:lvl>
    <w:lvl w:ilvl="8" w:tplc="A0627C04">
      <w:numFmt w:val="decimal"/>
      <w:lvlText w:val=""/>
      <w:lvlJc w:val="left"/>
    </w:lvl>
  </w:abstractNum>
  <w:abstractNum w:abstractNumId="1" w15:restartNumberingAfterBreak="0">
    <w:nsid w:val="7E210F6F"/>
    <w:multiLevelType w:val="hybridMultilevel"/>
    <w:tmpl w:val="9EB866F6"/>
    <w:lvl w:ilvl="0" w:tplc="6EC88D42">
      <w:start w:val="1"/>
      <w:numFmt w:val="bullet"/>
      <w:lvlText w:val="●"/>
      <w:lvlJc w:val="left"/>
      <w:pPr>
        <w:ind w:left="720" w:hanging="360"/>
      </w:pPr>
    </w:lvl>
    <w:lvl w:ilvl="1" w:tplc="916672EE">
      <w:start w:val="1"/>
      <w:numFmt w:val="bullet"/>
      <w:lvlText w:val="○"/>
      <w:lvlJc w:val="left"/>
      <w:pPr>
        <w:ind w:left="1440" w:hanging="360"/>
      </w:pPr>
    </w:lvl>
    <w:lvl w:ilvl="2" w:tplc="71625832">
      <w:start w:val="1"/>
      <w:numFmt w:val="bullet"/>
      <w:lvlText w:val="■"/>
      <w:lvlJc w:val="left"/>
      <w:pPr>
        <w:ind w:left="2160" w:hanging="360"/>
      </w:pPr>
    </w:lvl>
    <w:lvl w:ilvl="3" w:tplc="C7CC96A4">
      <w:start w:val="1"/>
      <w:numFmt w:val="bullet"/>
      <w:lvlText w:val="●"/>
      <w:lvlJc w:val="left"/>
      <w:pPr>
        <w:ind w:left="2880" w:hanging="360"/>
      </w:pPr>
    </w:lvl>
    <w:lvl w:ilvl="4" w:tplc="BAA61A20">
      <w:start w:val="1"/>
      <w:numFmt w:val="bullet"/>
      <w:lvlText w:val="○"/>
      <w:lvlJc w:val="left"/>
      <w:pPr>
        <w:ind w:left="3600" w:hanging="360"/>
      </w:pPr>
    </w:lvl>
    <w:lvl w:ilvl="5" w:tplc="8B5254C0">
      <w:start w:val="1"/>
      <w:numFmt w:val="bullet"/>
      <w:lvlText w:val="■"/>
      <w:lvlJc w:val="left"/>
      <w:pPr>
        <w:ind w:left="4320" w:hanging="360"/>
      </w:pPr>
    </w:lvl>
    <w:lvl w:ilvl="6" w:tplc="C6D8052A">
      <w:start w:val="1"/>
      <w:numFmt w:val="bullet"/>
      <w:lvlText w:val="●"/>
      <w:lvlJc w:val="left"/>
      <w:pPr>
        <w:ind w:left="5040" w:hanging="360"/>
      </w:pPr>
    </w:lvl>
    <w:lvl w:ilvl="7" w:tplc="56A0B396">
      <w:start w:val="1"/>
      <w:numFmt w:val="bullet"/>
      <w:lvlText w:val="●"/>
      <w:lvlJc w:val="left"/>
      <w:pPr>
        <w:ind w:left="5760" w:hanging="360"/>
      </w:pPr>
    </w:lvl>
    <w:lvl w:ilvl="8" w:tplc="FD543218">
      <w:start w:val="1"/>
      <w:numFmt w:val="bullet"/>
      <w:lvlText w:val="●"/>
      <w:lvlJc w:val="left"/>
      <w:pPr>
        <w:ind w:left="6480" w:hanging="360"/>
      </w:pPr>
    </w:lvl>
  </w:abstractNum>
  <w:num w:numId="1" w16cid:durableId="1672878312">
    <w:abstractNumId w:val="1"/>
    <w:lvlOverride w:ilvl="0">
      <w:startOverride w:val="1"/>
    </w:lvlOverride>
  </w:num>
  <w:num w:numId="2" w16cid:durableId="162118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134"/>
    <w:rsid w:val="00233977"/>
    <w:rsid w:val="00270237"/>
    <w:rsid w:val="003F4134"/>
    <w:rsid w:val="00C3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5951A"/>
  <w15:docId w15:val="{9248FD05-7FC6-FD4A-AB01-6114EF64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44" w:after="72" w:line="276" w:lineRule="auto"/>
      <w:outlineLvl w:val="0"/>
    </w:pPr>
    <w:rPr>
      <w:rFonts w:ascii="Segoe UI" w:eastAsia="Segoe UI" w:hAnsi="Segoe UI" w:cs="Segoe UI"/>
      <w:b/>
      <w:bCs/>
      <w:color w:val="005366"/>
      <w:sz w:val="24"/>
      <w:szCs w:val="24"/>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PageContextTitleStyle">
    <w:name w:val="Page Context Title Style"/>
    <w:pPr>
      <w:spacing w:before="144" w:after="72" w:line="276" w:lineRule="auto"/>
    </w:pPr>
    <w:rPr>
      <w:rFonts w:ascii="Segoe UI" w:eastAsia="Segoe UI" w:hAnsi="Segoe UI" w:cs="Segoe UI"/>
      <w:b/>
      <w:bCs/>
      <w:color w:val="ED7D31"/>
      <w:sz w:val="24"/>
      <w:szCs w:val="24"/>
    </w:rPr>
  </w:style>
  <w:style w:type="paragraph" w:customStyle="1" w:styleId="LinkStyle">
    <w:name w:val="Link Style"/>
    <w:pPr>
      <w:spacing w:before="144" w:after="72" w:line="276" w:lineRule="auto"/>
    </w:pPr>
    <w:rPr>
      <w:rFonts w:ascii="Segoe UI" w:eastAsia="Segoe UI" w:hAnsi="Segoe UI" w:cs="Segoe UI"/>
      <w:b/>
      <w:bCs/>
      <w:color w:val="2E74B5"/>
      <w:sz w:val="24"/>
      <w:szCs w:val="24"/>
      <w:u w:val="single" w:color="2E74B5"/>
    </w:rPr>
  </w:style>
  <w:style w:type="paragraph" w:customStyle="1" w:styleId="ParagraphTextStyle">
    <w:name w:val="Paragraph Text Style"/>
    <w:pPr>
      <w:spacing w:before="144" w:after="72" w:line="276" w:lineRule="auto"/>
    </w:pPr>
    <w:rPr>
      <w:rFonts w:ascii="Segoe UI" w:eastAsia="Segoe UI" w:hAnsi="Segoe UI" w:cs="Segoe UI"/>
      <w:color w:val="000000"/>
      <w:sz w:val="26"/>
      <w:szCs w:val="26"/>
    </w:rPr>
  </w:style>
  <w:style w:type="paragraph" w:customStyle="1" w:styleId="CitationStyle">
    <w:name w:val="Citation Style"/>
    <w:rPr>
      <w:rFonts w:ascii="Segoe UI" w:eastAsia="Segoe UI" w:hAnsi="Segoe UI" w:cs="Segoe UI"/>
      <w:color w:val="000000"/>
    </w:rPr>
  </w:style>
  <w:style w:type="paragraph" w:customStyle="1" w:styleId="HeaderStyle">
    <w:name w:val="Header Style"/>
    <w:rPr>
      <w:rFonts w:ascii="Segoe UI" w:eastAsia="Segoe UI" w:hAnsi="Segoe UI" w:cs="Segoe UI"/>
      <w:color w:val="767676"/>
      <w:sz w:val="24"/>
      <w:szCs w:val="24"/>
    </w:rPr>
  </w:style>
  <w:style w:type="paragraph" w:customStyle="1" w:styleId="CodeStyle">
    <w:name w:val="Code Style"/>
    <w:rPr>
      <w:rFonts w:ascii="Consolas" w:eastAsia="Consolas" w:hAnsi="Consolas" w:cs="Consolas"/>
      <w:sz w:val="24"/>
      <w:szCs w:val="24"/>
    </w:rPr>
  </w:style>
  <w:style w:type="paragraph" w:styleId="Header">
    <w:name w:val="header"/>
    <w:basedOn w:val="Normal"/>
    <w:link w:val="HeaderChar"/>
    <w:uiPriority w:val="99"/>
    <w:unhideWhenUsed/>
    <w:rsid w:val="00270237"/>
    <w:pPr>
      <w:tabs>
        <w:tab w:val="center" w:pos="4680"/>
        <w:tab w:val="right" w:pos="9360"/>
      </w:tabs>
    </w:pPr>
  </w:style>
  <w:style w:type="character" w:customStyle="1" w:styleId="HeaderChar">
    <w:name w:val="Header Char"/>
    <w:basedOn w:val="DefaultParagraphFont"/>
    <w:link w:val="Header"/>
    <w:uiPriority w:val="99"/>
    <w:rsid w:val="00270237"/>
  </w:style>
  <w:style w:type="paragraph" w:styleId="Footer">
    <w:name w:val="footer"/>
    <w:basedOn w:val="Normal"/>
    <w:link w:val="FooterChar"/>
    <w:uiPriority w:val="99"/>
    <w:unhideWhenUsed/>
    <w:rsid w:val="00270237"/>
    <w:pPr>
      <w:tabs>
        <w:tab w:val="center" w:pos="4680"/>
        <w:tab w:val="right" w:pos="9360"/>
      </w:tabs>
    </w:pPr>
  </w:style>
  <w:style w:type="character" w:customStyle="1" w:styleId="FooterChar">
    <w:name w:val="Footer Char"/>
    <w:basedOn w:val="DefaultParagraphFont"/>
    <w:link w:val="Footer"/>
    <w:uiPriority w:val="99"/>
    <w:rsid w:val="00270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joincandor.com/blog/posts/the-ultimate-guide-to-employee-resource-groups-ergs" TargetMode="External"/><Relationship Id="rId13" Type="http://schemas.openxmlformats.org/officeDocument/2006/relationships/hyperlink" Target="https://www.lyrahealth.com/blog/employee-resource-groups/" TargetMode="External"/><Relationship Id="rId18" Type="http://schemas.openxmlformats.org/officeDocument/2006/relationships/hyperlink" Target="https://benevity.com/resources/erg-metrics-measure-succes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mckinsey.com/capabilities/people-and-organizational-performance/our-insights/effective-employee-resource-groups-are-key-to-inclusion-at-work-heres-how-to-get-them-right" TargetMode="External"/><Relationship Id="rId7" Type="http://schemas.openxmlformats.org/officeDocument/2006/relationships/hyperlink" Target="https://www.cultureamp.com/blog/impact-of-employee-resource-groups-on-dei" TargetMode="External"/><Relationship Id="rId12" Type="http://schemas.openxmlformats.org/officeDocument/2006/relationships/hyperlink" Target="https://www.joincandor.com/blog/posts/the-ultimate-guide-to-employee-resource-groups-ergs" TargetMode="External"/><Relationship Id="rId17" Type="http://schemas.openxmlformats.org/officeDocument/2006/relationships/hyperlink" Target="https://diverst.com/erg-metrics/" TargetMode="External"/><Relationship Id="rId25" Type="http://schemas.openxmlformats.org/officeDocument/2006/relationships/hyperlink" Target="https://www.lyrahealth.com/blog/employee-resource-groups/" TargetMode="External"/><Relationship Id="rId2" Type="http://schemas.openxmlformats.org/officeDocument/2006/relationships/styles" Target="styles.xml"/><Relationship Id="rId16" Type="http://schemas.openxmlformats.org/officeDocument/2006/relationships/hyperlink" Target="https://www.joincandor.com/blog/posts/the-ultimate-guide-to-employee-resource-groups-ergs" TargetMode="External"/><Relationship Id="rId20" Type="http://schemas.openxmlformats.org/officeDocument/2006/relationships/hyperlink" Target="https://www.wellable.co/blog/employee-resource-groups/"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yrahealth.com/blog/employee-resource-groups/" TargetMode="External"/><Relationship Id="rId24" Type="http://schemas.openxmlformats.org/officeDocument/2006/relationships/hyperlink" Target="https://www.riversoftware.com/diversity-and-inclusion/what-does-erg-stands-for-in-erg-theory-of-leadership/" TargetMode="External"/><Relationship Id="rId5" Type="http://schemas.openxmlformats.org/officeDocument/2006/relationships/footnotes" Target="footnotes.xml"/><Relationship Id="rId15" Type="http://schemas.openxmlformats.org/officeDocument/2006/relationships/hyperlink" Target="https://www.cultureamp.com/blog/impact-of-employee-resource-groups-on-dei" TargetMode="External"/><Relationship Id="rId23" Type="http://schemas.openxmlformats.org/officeDocument/2006/relationships/hyperlink" Target="https://www.joincandor.com/blog/posts/the-ultimate-guide-to-employee-resource-groups-ergs" TargetMode="External"/><Relationship Id="rId28" Type="http://schemas.openxmlformats.org/officeDocument/2006/relationships/theme" Target="theme/theme1.xml"/><Relationship Id="rId10" Type="http://schemas.openxmlformats.org/officeDocument/2006/relationships/hyperlink" Target="https://www.riversoftware.com/diversity-and-inclusion/what-does-erg-stands-for-in-erg-theory-of-leadership/" TargetMode="External"/><Relationship Id="rId19" Type="http://schemas.openxmlformats.org/officeDocument/2006/relationships/hyperlink" Target="https://board.org/dei/resources/measuring-the-success-of-your-employee-resource-groups/"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joincandor.com/blog/posts/the-ultimate-guide-to-employee-resource-groups-ergs" TargetMode="External"/><Relationship Id="rId14" Type="http://schemas.openxmlformats.org/officeDocument/2006/relationships/hyperlink" Target="https://www.joincandor.com/blog/posts/the-ultimate-guide-to-employee-resource-groups-ergs" TargetMode="External"/><Relationship Id="rId22" Type="http://schemas.openxmlformats.org/officeDocument/2006/relationships/hyperlink" Target="https://www.cultureamp.com/blog/impact-of-employee-resource-groups-on-dei"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DEE41E971944FBCE8703B7C1554A6" ma:contentTypeVersion="22" ma:contentTypeDescription="Create a new document." ma:contentTypeScope="" ma:versionID="bb87ac5067d414186095f64407a5a87a">
  <xsd:schema xmlns:xsd="http://www.w3.org/2001/XMLSchema" xmlns:xs="http://www.w3.org/2001/XMLSchema" xmlns:p="http://schemas.microsoft.com/office/2006/metadata/properties" xmlns:ns2="72ff7dd5-fe5a-48dc-8a08-9101dd709437" xmlns:ns3="3d8df082-97e7-4233-abad-c4407e271e90" targetNamespace="http://schemas.microsoft.com/office/2006/metadata/properties" ma:root="true" ma:fieldsID="bbe74b771775e16ca4f28db9d50db442" ns2:_="" ns3:_="">
    <xsd:import namespace="72ff7dd5-fe5a-48dc-8a08-9101dd709437"/>
    <xsd:import namespace="3d8df082-97e7-4233-abad-c4407e271e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f7dd5-fe5a-48dc-8a08-9101dd709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df082-97e7-4233-abad-c4407e271e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a1e14-d58d-45ae-8895-e0eb6822efb6}" ma:internalName="TaxCatchAll" ma:showField="CatchAllData" ma:web="3d8df082-97e7-4233-abad-c4407e271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ff7dd5-fe5a-48dc-8a08-9101dd709437">
      <Terms xmlns="http://schemas.microsoft.com/office/infopath/2007/PartnerControls"/>
    </lcf76f155ced4ddcb4097134ff3c332f>
    <TaxCatchAll xmlns="3d8df082-97e7-4233-abad-c4407e271e90" xsi:nil="true"/>
    <_Flow_SignoffStatus xmlns="72ff7dd5-fe5a-48dc-8a08-9101dd709437" xsi:nil="true"/>
  </documentManagement>
</p:properties>
</file>

<file path=customXml/itemProps1.xml><?xml version="1.0" encoding="utf-8"?>
<ds:datastoreItem xmlns:ds="http://schemas.openxmlformats.org/officeDocument/2006/customXml" ds:itemID="{BE8CAA0E-18A9-414A-BE6D-50FBA7CFB69C}"/>
</file>

<file path=customXml/itemProps2.xml><?xml version="1.0" encoding="utf-8"?>
<ds:datastoreItem xmlns:ds="http://schemas.openxmlformats.org/officeDocument/2006/customXml" ds:itemID="{7A166852-AF8E-4EDA-B237-54188FC588FF}"/>
</file>

<file path=customXml/itemProps3.xml><?xml version="1.0" encoding="utf-8"?>
<ds:datastoreItem xmlns:ds="http://schemas.openxmlformats.org/officeDocument/2006/customXml" ds:itemID="{0E0B6533-0625-4358-8E86-A3C671CDF04C}"/>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Angela Mosley-Monts</cp:lastModifiedBy>
  <cp:revision>2</cp:revision>
  <dcterms:created xsi:type="dcterms:W3CDTF">2024-08-07T19:10:00Z</dcterms:created>
  <dcterms:modified xsi:type="dcterms:W3CDTF">2024-08-07T19:10:00Z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0x010100AEEDEE41E971944FBCE8703B7C1554A6</vt:lpwstr>
  </property>
</Properties>
</file>