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07AB7" w14:textId="77777777" w:rsidR="004D3748" w:rsidRDefault="004D3748">
      <w:pPr>
        <w:pStyle w:val="ParagraphTextStyle"/>
      </w:pPr>
    </w:p>
    <w:p w14:paraId="0D8D3CEC" w14:textId="0039FB75" w:rsidR="001F6D27" w:rsidRDefault="00000000">
      <w:pPr>
        <w:pStyle w:val="ParagraphTextStyle"/>
      </w:pPr>
      <w:r>
        <w:t xml:space="preserve">Employee Resource Groups (ERGs) have a significant impact on organizational culture, fostering a more inclusive, engaged, and supportive workplace. Here are some </w:t>
      </w:r>
      <w:proofErr w:type="gramStart"/>
      <w:r>
        <w:t>key ways</w:t>
      </w:r>
      <w:proofErr w:type="gramEnd"/>
      <w:r>
        <w:t xml:space="preserve"> ERGs influence organizational culture:</w:t>
      </w:r>
    </w:p>
    <w:p w14:paraId="7E66DC32" w14:textId="77777777" w:rsidR="001F6D27" w:rsidRDefault="00000000">
      <w:pPr>
        <w:pStyle w:val="ParagraphTextStyle"/>
        <w:numPr>
          <w:ilvl w:val="0"/>
          <w:numId w:val="2"/>
        </w:numPr>
      </w:pPr>
      <w:r>
        <w:rPr>
          <w:b/>
          <w:bCs/>
        </w:rPr>
        <w:t>Promoting Diversity and Inclusion</w:t>
      </w:r>
      <w:r>
        <w:t>: ERGs provide a platform for employees from diverse backgrounds to connect, share experiences, and support each other. This helps create a culture where diversity is celebrated and inclusion is prioritized</w:t>
      </w:r>
      <w:hyperlink r:id="rId7" w:history="1">
        <w:r>
          <w:rPr>
            <w:b/>
            <w:bCs/>
            <w:color w:val="174AE4"/>
            <w:sz w:val="20"/>
            <w:szCs w:val="20"/>
            <w:vertAlign w:val="superscript"/>
          </w:rPr>
          <w:t>1</w:t>
        </w:r>
      </w:hyperlink>
      <w:hyperlink r:id="rId8" w:history="1">
        <w:r>
          <w:rPr>
            <w:b/>
            <w:bCs/>
            <w:color w:val="174AE4"/>
            <w:sz w:val="20"/>
            <w:szCs w:val="20"/>
            <w:vertAlign w:val="superscript"/>
          </w:rPr>
          <w:t>2</w:t>
        </w:r>
      </w:hyperlink>
      <w:r>
        <w:t>.</w:t>
      </w:r>
    </w:p>
    <w:p w14:paraId="4B1A6409" w14:textId="77777777" w:rsidR="001F6D27" w:rsidRDefault="00000000">
      <w:pPr>
        <w:pStyle w:val="ParagraphTextStyle"/>
        <w:numPr>
          <w:ilvl w:val="0"/>
          <w:numId w:val="2"/>
        </w:numPr>
      </w:pPr>
      <w:r>
        <w:rPr>
          <w:b/>
          <w:bCs/>
        </w:rPr>
        <w:t>Enhancing Employee Engagement</w:t>
      </w:r>
      <w:r>
        <w:t>: By offering opportunities for employees to get involved in meaningful activities and initiatives, ERGs boost engagement and morale. Employees who participate in ERGs often feel more connected to their colleagues and the organization</w:t>
      </w:r>
      <w:hyperlink r:id="rId9" w:history="1">
        <w:r>
          <w:rPr>
            <w:b/>
            <w:bCs/>
            <w:color w:val="174AE4"/>
            <w:sz w:val="20"/>
            <w:szCs w:val="20"/>
            <w:vertAlign w:val="superscript"/>
          </w:rPr>
          <w:t>2</w:t>
        </w:r>
      </w:hyperlink>
      <w:hyperlink r:id="rId10" w:history="1">
        <w:r>
          <w:rPr>
            <w:b/>
            <w:bCs/>
            <w:color w:val="174AE4"/>
            <w:sz w:val="20"/>
            <w:szCs w:val="20"/>
            <w:vertAlign w:val="superscript"/>
          </w:rPr>
          <w:t>3</w:t>
        </w:r>
      </w:hyperlink>
      <w:r>
        <w:t>.</w:t>
      </w:r>
    </w:p>
    <w:p w14:paraId="4E7C84B6" w14:textId="77777777" w:rsidR="001F6D27" w:rsidRDefault="00000000">
      <w:pPr>
        <w:pStyle w:val="ParagraphTextStyle"/>
        <w:numPr>
          <w:ilvl w:val="0"/>
          <w:numId w:val="2"/>
        </w:numPr>
      </w:pPr>
      <w:r>
        <w:rPr>
          <w:b/>
          <w:bCs/>
        </w:rPr>
        <w:t>Providing Support and Advocacy</w:t>
      </w:r>
      <w:r>
        <w:t>: ERGs serve as a support network for employees, offering resources and advocacy for various groups within the organization. This can lead to a more supportive and understanding work environment</w:t>
      </w:r>
      <w:hyperlink r:id="rId11" w:history="1">
        <w:r>
          <w:rPr>
            <w:b/>
            <w:bCs/>
            <w:color w:val="174AE4"/>
            <w:sz w:val="20"/>
            <w:szCs w:val="20"/>
            <w:vertAlign w:val="superscript"/>
          </w:rPr>
          <w:t>1</w:t>
        </w:r>
      </w:hyperlink>
      <w:hyperlink r:id="rId12" w:history="1">
        <w:r>
          <w:rPr>
            <w:b/>
            <w:bCs/>
            <w:color w:val="174AE4"/>
            <w:sz w:val="20"/>
            <w:szCs w:val="20"/>
            <w:vertAlign w:val="superscript"/>
          </w:rPr>
          <w:t>3</w:t>
        </w:r>
      </w:hyperlink>
      <w:r>
        <w:t>.</w:t>
      </w:r>
    </w:p>
    <w:p w14:paraId="19FC12FC" w14:textId="77777777" w:rsidR="001F6D27" w:rsidRDefault="00000000">
      <w:pPr>
        <w:pStyle w:val="ParagraphTextStyle"/>
        <w:numPr>
          <w:ilvl w:val="0"/>
          <w:numId w:val="2"/>
        </w:numPr>
      </w:pPr>
      <w:r>
        <w:rPr>
          <w:b/>
          <w:bCs/>
        </w:rPr>
        <w:t>Driving Organizational Change</w:t>
      </w:r>
      <w:r>
        <w:t>: ERGs can influence company policies and practices by providing insights and feedback from their members. This can lead to more inclusive policies and a better understanding of the needs of diverse employee groups</w:t>
      </w:r>
      <w:hyperlink r:id="rId13" w:history="1">
        <w:r>
          <w:rPr>
            <w:b/>
            <w:bCs/>
            <w:color w:val="174AE4"/>
            <w:sz w:val="20"/>
            <w:szCs w:val="20"/>
            <w:vertAlign w:val="superscript"/>
          </w:rPr>
          <w:t>1</w:t>
        </w:r>
      </w:hyperlink>
      <w:hyperlink r:id="rId14" w:history="1">
        <w:r>
          <w:rPr>
            <w:b/>
            <w:bCs/>
            <w:color w:val="174AE4"/>
            <w:sz w:val="20"/>
            <w:szCs w:val="20"/>
            <w:vertAlign w:val="superscript"/>
          </w:rPr>
          <w:t>5</w:t>
        </w:r>
      </w:hyperlink>
      <w:r>
        <w:t>.</w:t>
      </w:r>
    </w:p>
    <w:p w14:paraId="7671115B" w14:textId="77777777" w:rsidR="001F6D27" w:rsidRDefault="00000000">
      <w:pPr>
        <w:pStyle w:val="ParagraphTextStyle"/>
        <w:numPr>
          <w:ilvl w:val="0"/>
          <w:numId w:val="2"/>
        </w:numPr>
      </w:pPr>
      <w:r>
        <w:rPr>
          <w:b/>
          <w:bCs/>
        </w:rPr>
        <w:t>Fostering Professional Development</w:t>
      </w:r>
      <w:r>
        <w:t>: ERGs often provide opportunities for leadership development, mentoring, and skill-building. This can help members advance their careers and contribute more effectively to the organization</w:t>
      </w:r>
      <w:hyperlink r:id="rId15" w:history="1">
        <w:r>
          <w:rPr>
            <w:b/>
            <w:bCs/>
            <w:color w:val="174AE4"/>
            <w:sz w:val="20"/>
            <w:szCs w:val="20"/>
            <w:vertAlign w:val="superscript"/>
          </w:rPr>
          <w:t>2</w:t>
        </w:r>
      </w:hyperlink>
      <w:hyperlink r:id="rId16" w:history="1">
        <w:r>
          <w:rPr>
            <w:b/>
            <w:bCs/>
            <w:color w:val="174AE4"/>
            <w:sz w:val="20"/>
            <w:szCs w:val="20"/>
            <w:vertAlign w:val="superscript"/>
          </w:rPr>
          <w:t>3</w:t>
        </w:r>
      </w:hyperlink>
      <w:r>
        <w:t>.</w:t>
      </w:r>
    </w:p>
    <w:p w14:paraId="6AB3B8A8" w14:textId="77777777" w:rsidR="001F6D27" w:rsidRDefault="00000000">
      <w:pPr>
        <w:pStyle w:val="ParagraphTextStyle"/>
        <w:numPr>
          <w:ilvl w:val="0"/>
          <w:numId w:val="2"/>
        </w:numPr>
      </w:pPr>
      <w:r>
        <w:rPr>
          <w:b/>
          <w:bCs/>
        </w:rPr>
        <w:t>Building Community and Belonging</w:t>
      </w:r>
      <w:r>
        <w:t>: ERGs help create a sense of community and belonging among employees. By connecting individuals with shared interests or backgrounds, ERGs foster a more cohesive and supportive workplace culture</w:t>
      </w:r>
      <w:hyperlink r:id="rId17" w:history="1">
        <w:r>
          <w:rPr>
            <w:b/>
            <w:bCs/>
            <w:color w:val="174AE4"/>
            <w:sz w:val="20"/>
            <w:szCs w:val="20"/>
            <w:vertAlign w:val="superscript"/>
          </w:rPr>
          <w:t>3</w:t>
        </w:r>
      </w:hyperlink>
      <w:hyperlink r:id="rId18" w:history="1">
        <w:r>
          <w:rPr>
            <w:b/>
            <w:bCs/>
            <w:color w:val="174AE4"/>
            <w:sz w:val="20"/>
            <w:szCs w:val="20"/>
            <w:vertAlign w:val="superscript"/>
          </w:rPr>
          <w:t>5</w:t>
        </w:r>
      </w:hyperlink>
      <w:r>
        <w:t>.</w:t>
      </w:r>
    </w:p>
    <w:p w14:paraId="0BBFF4C1" w14:textId="77777777" w:rsidR="001F6D27" w:rsidRDefault="00000000">
      <w:pPr>
        <w:pStyle w:val="ParagraphTextStyle"/>
      </w:pPr>
      <w:r>
        <w:t>Overall, ERGs play a crucial role in shaping a positive organizational culture by promoting diversity, enhancing engagement, providing support, driving change, fostering development, and building community.</w:t>
      </w:r>
    </w:p>
    <w:p w14:paraId="5E1D3CEB" w14:textId="77777777" w:rsidR="001F6D27" w:rsidRDefault="00000000">
      <w:pPr>
        <w:pStyle w:val="ParagraphTextStyle"/>
      </w:pPr>
      <w:r>
        <w:t>Is there a specific aspect of ERGs you're particularly interested in?</w:t>
      </w:r>
    </w:p>
    <w:p w14:paraId="22B6F50A" w14:textId="77777777" w:rsidR="001F6D27" w:rsidRDefault="00000000">
      <w:pPr>
        <w:pStyle w:val="ParagraphTextStyle"/>
        <w:pBdr>
          <w:top w:val="single" w:sz="8" w:space="10" w:color="D9D9D9"/>
        </w:pBdr>
      </w:pPr>
      <w:r>
        <w:lastRenderedPageBreak/>
        <w:t>Source(s)</w:t>
      </w:r>
    </w:p>
    <w:p w14:paraId="5FE34929" w14:textId="77777777" w:rsidR="001F6D27" w:rsidRDefault="00000000">
      <w:pPr>
        <w:pStyle w:val="CitationStyle"/>
      </w:pPr>
      <w:r>
        <w:t xml:space="preserve">1. </w:t>
      </w:r>
      <w:hyperlink r:id="rId19" w:history="1">
        <w:r>
          <w:rPr>
            <w:rStyle w:val="Hyperlink"/>
          </w:rPr>
          <w:t>Effective employee resource groups are key to inclusion at work. Here’s ...</w:t>
        </w:r>
      </w:hyperlink>
    </w:p>
    <w:p w14:paraId="2D7AA381" w14:textId="77777777" w:rsidR="001F6D27" w:rsidRDefault="00000000">
      <w:pPr>
        <w:pStyle w:val="CitationStyle"/>
      </w:pPr>
      <w:r>
        <w:t xml:space="preserve">2. </w:t>
      </w:r>
      <w:hyperlink r:id="rId20" w:history="1">
        <w:r>
          <w:rPr>
            <w:rStyle w:val="Hyperlink"/>
          </w:rPr>
          <w:t>The role of employee resource groups (ERG) in driving DEI | Culture Amp</w:t>
        </w:r>
      </w:hyperlink>
    </w:p>
    <w:p w14:paraId="54DF5E22" w14:textId="77777777" w:rsidR="001F6D27" w:rsidRDefault="00000000">
      <w:pPr>
        <w:pStyle w:val="CitationStyle"/>
      </w:pPr>
      <w:r>
        <w:t xml:space="preserve">3. </w:t>
      </w:r>
      <w:hyperlink r:id="rId21" w:history="1">
        <w:r>
          <w:rPr>
            <w:rStyle w:val="Hyperlink"/>
          </w:rPr>
          <w:t>The Ultimate Guide to Employee Resource Groups (ERGs) | Candor</w:t>
        </w:r>
      </w:hyperlink>
    </w:p>
    <w:p w14:paraId="182B2921" w14:textId="77777777" w:rsidR="001F6D27" w:rsidRDefault="00000000">
      <w:pPr>
        <w:pStyle w:val="CitationStyle"/>
      </w:pPr>
      <w:r>
        <w:t xml:space="preserve">4. </w:t>
      </w:r>
      <w:hyperlink r:id="rId22" w:history="1">
        <w:r>
          <w:rPr>
            <w:rStyle w:val="Hyperlink"/>
          </w:rPr>
          <w:t>ERGs: Maximizing the Impact of Employee Resource Groups</w:t>
        </w:r>
      </w:hyperlink>
    </w:p>
    <w:p w14:paraId="4AD5843F" w14:textId="77777777" w:rsidR="001F6D27" w:rsidRDefault="00000000">
      <w:pPr>
        <w:pStyle w:val="CitationStyle"/>
      </w:pPr>
      <w:r>
        <w:t xml:space="preserve">5. </w:t>
      </w:r>
      <w:hyperlink r:id="rId23" w:history="1">
        <w:r>
          <w:rPr>
            <w:rStyle w:val="Hyperlink"/>
          </w:rPr>
          <w:t>What does ERG stands for in ERG theory of leadership? - River</w:t>
        </w:r>
      </w:hyperlink>
    </w:p>
    <w:p w14:paraId="7C3F33A2" w14:textId="77777777" w:rsidR="001F6D27" w:rsidRDefault="001F6D27">
      <w:pPr>
        <w:pStyle w:val="ParagraphTextStyle"/>
      </w:pPr>
    </w:p>
    <w:sectPr w:rsidR="001F6D27">
      <w:headerReference w:type="default" r:id="rId24"/>
      <w:pgSz w:w="11906" w:h="16838"/>
      <w:pgMar w:top="30" w:right="1440" w:bottom="1440" w:left="1440" w:header="708" w:footer="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08E8" w14:textId="77777777" w:rsidR="00797723" w:rsidRDefault="00797723">
      <w:r>
        <w:separator/>
      </w:r>
    </w:p>
  </w:endnote>
  <w:endnote w:type="continuationSeparator" w:id="0">
    <w:p w14:paraId="68681A96" w14:textId="77777777" w:rsidR="00797723" w:rsidRDefault="0079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A0AB" w14:textId="77777777" w:rsidR="00797723" w:rsidRDefault="00797723">
      <w:r>
        <w:separator/>
      </w:r>
    </w:p>
  </w:footnote>
  <w:footnote w:type="continuationSeparator" w:id="0">
    <w:p w14:paraId="5C39DB51" w14:textId="77777777" w:rsidR="00797723" w:rsidRDefault="0079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1E37" w14:textId="21D79650" w:rsidR="001F6D27" w:rsidRPr="004D3748" w:rsidRDefault="004D3748">
    <w:pPr>
      <w:pStyle w:val="HeaderStyle"/>
      <w:jc w:val="center"/>
      <w:rPr>
        <w:b/>
        <w:bCs/>
        <w:color w:val="000000" w:themeColor="text1"/>
        <w:sz w:val="28"/>
        <w:szCs w:val="28"/>
      </w:rPr>
    </w:pPr>
    <w:r w:rsidRPr="004D3748">
      <w:rPr>
        <w:b/>
        <w:bCs/>
        <w:color w:val="000000" w:themeColor="text1"/>
        <w:sz w:val="28"/>
        <w:szCs w:val="28"/>
      </w:rPr>
      <w:t>The Impact of ERGS on Organizational 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16864"/>
    <w:multiLevelType w:val="hybridMultilevel"/>
    <w:tmpl w:val="2D6CE91A"/>
    <w:lvl w:ilvl="0" w:tplc="1ADA6EC2">
      <w:start w:val="1"/>
      <w:numFmt w:val="bullet"/>
      <w:lvlText w:val="●"/>
      <w:lvlJc w:val="left"/>
      <w:pPr>
        <w:ind w:left="720" w:hanging="360"/>
      </w:pPr>
    </w:lvl>
    <w:lvl w:ilvl="1" w:tplc="9BD254FA">
      <w:start w:val="1"/>
      <w:numFmt w:val="bullet"/>
      <w:lvlText w:val="○"/>
      <w:lvlJc w:val="left"/>
      <w:pPr>
        <w:ind w:left="1440" w:hanging="360"/>
      </w:pPr>
    </w:lvl>
    <w:lvl w:ilvl="2" w:tplc="7EAAC112">
      <w:start w:val="1"/>
      <w:numFmt w:val="bullet"/>
      <w:lvlText w:val="■"/>
      <w:lvlJc w:val="left"/>
      <w:pPr>
        <w:ind w:left="2160" w:hanging="360"/>
      </w:pPr>
    </w:lvl>
    <w:lvl w:ilvl="3" w:tplc="724E9E08">
      <w:start w:val="1"/>
      <w:numFmt w:val="bullet"/>
      <w:lvlText w:val="●"/>
      <w:lvlJc w:val="left"/>
      <w:pPr>
        <w:ind w:left="2880" w:hanging="360"/>
      </w:pPr>
    </w:lvl>
    <w:lvl w:ilvl="4" w:tplc="FED4C3A6">
      <w:start w:val="1"/>
      <w:numFmt w:val="bullet"/>
      <w:lvlText w:val="○"/>
      <w:lvlJc w:val="left"/>
      <w:pPr>
        <w:ind w:left="3600" w:hanging="360"/>
      </w:pPr>
    </w:lvl>
    <w:lvl w:ilvl="5" w:tplc="4C142234">
      <w:start w:val="1"/>
      <w:numFmt w:val="bullet"/>
      <w:lvlText w:val="■"/>
      <w:lvlJc w:val="left"/>
      <w:pPr>
        <w:ind w:left="4320" w:hanging="360"/>
      </w:pPr>
    </w:lvl>
    <w:lvl w:ilvl="6" w:tplc="690A2B28">
      <w:start w:val="1"/>
      <w:numFmt w:val="bullet"/>
      <w:lvlText w:val="●"/>
      <w:lvlJc w:val="left"/>
      <w:pPr>
        <w:ind w:left="5040" w:hanging="360"/>
      </w:pPr>
    </w:lvl>
    <w:lvl w:ilvl="7" w:tplc="E40E80FA">
      <w:start w:val="1"/>
      <w:numFmt w:val="bullet"/>
      <w:lvlText w:val="●"/>
      <w:lvlJc w:val="left"/>
      <w:pPr>
        <w:ind w:left="5760" w:hanging="360"/>
      </w:pPr>
    </w:lvl>
    <w:lvl w:ilvl="8" w:tplc="76A281C2">
      <w:start w:val="1"/>
      <w:numFmt w:val="bullet"/>
      <w:lvlText w:val="●"/>
      <w:lvlJc w:val="left"/>
      <w:pPr>
        <w:ind w:left="6480" w:hanging="360"/>
      </w:pPr>
    </w:lvl>
  </w:abstractNum>
  <w:abstractNum w:abstractNumId="1" w15:restartNumberingAfterBreak="0">
    <w:nsid w:val="21A200B5"/>
    <w:multiLevelType w:val="hybridMultilevel"/>
    <w:tmpl w:val="A5AAF890"/>
    <w:lvl w:ilvl="0" w:tplc="58C294BA">
      <w:start w:val="1"/>
      <w:numFmt w:val="decimal"/>
      <w:lvlText w:val="%1."/>
      <w:lvlJc w:val="left"/>
      <w:pPr>
        <w:ind w:left="720" w:hanging="259"/>
      </w:pPr>
    </w:lvl>
    <w:lvl w:ilvl="1" w:tplc="4A46C62E">
      <w:start w:val="1"/>
      <w:numFmt w:val="lowerLetter"/>
      <w:lvlText w:val="%2."/>
      <w:lvlJc w:val="left"/>
      <w:pPr>
        <w:ind w:left="1080" w:hanging="259"/>
      </w:pPr>
    </w:lvl>
    <w:lvl w:ilvl="2" w:tplc="8550D3E4">
      <w:start w:val="1"/>
      <w:numFmt w:val="upperLetter"/>
      <w:lvlText w:val="%3)"/>
      <w:lvlJc w:val="left"/>
      <w:pPr>
        <w:ind w:left="1440" w:hanging="259"/>
      </w:pPr>
    </w:lvl>
    <w:lvl w:ilvl="3" w:tplc="5356842E">
      <w:start w:val="1"/>
      <w:numFmt w:val="upperRoman"/>
      <w:lvlText w:val="%4)"/>
      <w:lvlJc w:val="left"/>
      <w:pPr>
        <w:ind w:left="2880" w:hanging="2420"/>
      </w:pPr>
    </w:lvl>
    <w:lvl w:ilvl="4" w:tplc="676AE784">
      <w:numFmt w:val="decimal"/>
      <w:lvlText w:val=""/>
      <w:lvlJc w:val="left"/>
    </w:lvl>
    <w:lvl w:ilvl="5" w:tplc="340AF1CA">
      <w:numFmt w:val="decimal"/>
      <w:lvlText w:val=""/>
      <w:lvlJc w:val="left"/>
    </w:lvl>
    <w:lvl w:ilvl="6" w:tplc="7430B1A6">
      <w:numFmt w:val="decimal"/>
      <w:lvlText w:val=""/>
      <w:lvlJc w:val="left"/>
    </w:lvl>
    <w:lvl w:ilvl="7" w:tplc="A178267C">
      <w:numFmt w:val="decimal"/>
      <w:lvlText w:val=""/>
      <w:lvlJc w:val="left"/>
    </w:lvl>
    <w:lvl w:ilvl="8" w:tplc="E4CE6D3E">
      <w:numFmt w:val="decimal"/>
      <w:lvlText w:val=""/>
      <w:lvlJc w:val="left"/>
    </w:lvl>
  </w:abstractNum>
  <w:num w:numId="1" w16cid:durableId="782379174">
    <w:abstractNumId w:val="0"/>
    <w:lvlOverride w:ilvl="0">
      <w:startOverride w:val="1"/>
    </w:lvlOverride>
  </w:num>
  <w:num w:numId="2" w16cid:durableId="30122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27"/>
    <w:rsid w:val="000138DD"/>
    <w:rsid w:val="001F6D27"/>
    <w:rsid w:val="004D3748"/>
    <w:rsid w:val="00797723"/>
    <w:rsid w:val="00C3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F73FF3"/>
  <w15:docId w15:val="{9248FD05-7FC6-FD4A-AB01-6114EF64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paragraph" w:styleId="Header">
    <w:name w:val="header"/>
    <w:basedOn w:val="Normal"/>
    <w:link w:val="HeaderChar"/>
    <w:uiPriority w:val="99"/>
    <w:unhideWhenUsed/>
    <w:rsid w:val="004D3748"/>
    <w:pPr>
      <w:tabs>
        <w:tab w:val="center" w:pos="4680"/>
        <w:tab w:val="right" w:pos="9360"/>
      </w:tabs>
    </w:pPr>
  </w:style>
  <w:style w:type="character" w:customStyle="1" w:styleId="HeaderChar">
    <w:name w:val="Header Char"/>
    <w:basedOn w:val="DefaultParagraphFont"/>
    <w:link w:val="Header"/>
    <w:uiPriority w:val="99"/>
    <w:rsid w:val="004D3748"/>
  </w:style>
  <w:style w:type="paragraph" w:styleId="Footer">
    <w:name w:val="footer"/>
    <w:basedOn w:val="Normal"/>
    <w:link w:val="FooterChar"/>
    <w:uiPriority w:val="99"/>
    <w:unhideWhenUsed/>
    <w:rsid w:val="004D3748"/>
    <w:pPr>
      <w:tabs>
        <w:tab w:val="center" w:pos="4680"/>
        <w:tab w:val="right" w:pos="9360"/>
      </w:tabs>
    </w:pPr>
  </w:style>
  <w:style w:type="character" w:customStyle="1" w:styleId="FooterChar">
    <w:name w:val="Footer Char"/>
    <w:basedOn w:val="DefaultParagraphFont"/>
    <w:link w:val="Footer"/>
    <w:uiPriority w:val="99"/>
    <w:rsid w:val="004D3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ultureamp.com/blog/impact-of-employee-resource-groups-on-dei" TargetMode="External"/><Relationship Id="rId13" Type="http://schemas.openxmlformats.org/officeDocument/2006/relationships/hyperlink" Target="https://www.mckinsey.com/capabilities/people-and-organizational-performance/our-insights/effective-employee-resource-groups-are-key-to-inclusion-at-work-heres-how-to-get-them-right" TargetMode="External"/><Relationship Id="rId18" Type="http://schemas.openxmlformats.org/officeDocument/2006/relationships/hyperlink" Target="https://www.riversoftware.com/diversity-and-inclusion/what-does-erg-stands-for-in-erg-theory-of-leadershi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joincandor.com/blog/posts/the-ultimate-guide-to-employee-resource-groups-ergs" TargetMode="External"/><Relationship Id="rId7" Type="http://schemas.openxmlformats.org/officeDocument/2006/relationships/hyperlink" Target="https://www.mckinsey.com/capabilities/people-and-organizational-performance/our-insights/effective-employee-resource-groups-are-key-to-inclusion-at-work-heres-how-to-get-them-right" TargetMode="External"/><Relationship Id="rId12" Type="http://schemas.openxmlformats.org/officeDocument/2006/relationships/hyperlink" Target="https://www.joincandor.com/blog/posts/the-ultimate-guide-to-employee-resource-groups-ergs" TargetMode="External"/><Relationship Id="rId17" Type="http://schemas.openxmlformats.org/officeDocument/2006/relationships/hyperlink" Target="https://www.joincandor.com/blog/posts/the-ultimate-guide-to-employee-resource-groups-erg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oincandor.com/blog/posts/the-ultimate-guide-to-employee-resource-groups-ergs" TargetMode="External"/><Relationship Id="rId20" Type="http://schemas.openxmlformats.org/officeDocument/2006/relationships/hyperlink" Target="https://www.cultureamp.com/blog/impact-of-employee-resource-groups-on-dei"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kinsey.com/capabilities/people-and-organizational-performance/our-insights/effective-employee-resource-groups-are-key-to-inclusion-at-work-heres-how-to-get-them-righ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ultureamp.com/blog/impact-of-employee-resource-groups-on-dei" TargetMode="External"/><Relationship Id="rId23" Type="http://schemas.openxmlformats.org/officeDocument/2006/relationships/hyperlink" Target="https://www.riversoftware.com/diversity-and-inclusion/what-does-erg-stands-for-in-erg-theory-of-leadership/" TargetMode="External"/><Relationship Id="rId28" Type="http://schemas.openxmlformats.org/officeDocument/2006/relationships/customXml" Target="../customXml/item2.xml"/><Relationship Id="rId10" Type="http://schemas.openxmlformats.org/officeDocument/2006/relationships/hyperlink" Target="https://www.joincandor.com/blog/posts/the-ultimate-guide-to-employee-resource-groups-ergs" TargetMode="External"/><Relationship Id="rId19" Type="http://schemas.openxmlformats.org/officeDocument/2006/relationships/hyperlink" Target="https://www.mckinsey.com/capabilities/people-and-organizational-performance/our-insights/effective-employee-resource-groups-are-key-to-inclusion-at-work-heres-how-to-get-them-right" TargetMode="External"/><Relationship Id="rId4" Type="http://schemas.openxmlformats.org/officeDocument/2006/relationships/webSettings" Target="webSettings.xml"/><Relationship Id="rId9" Type="http://schemas.openxmlformats.org/officeDocument/2006/relationships/hyperlink" Target="https://www.cultureamp.com/blog/impact-of-employee-resource-groups-on-dei" TargetMode="External"/><Relationship Id="rId14" Type="http://schemas.openxmlformats.org/officeDocument/2006/relationships/hyperlink" Target="https://www.riversoftware.com/diversity-and-inclusion/what-does-erg-stands-for-in-erg-theory-of-leadership/" TargetMode="External"/><Relationship Id="rId22" Type="http://schemas.openxmlformats.org/officeDocument/2006/relationships/hyperlink" Target="https://www.lyrahealth.com/blog/employee-resource-groups/"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DEE41E971944FBCE8703B7C1554A6" ma:contentTypeVersion="22" ma:contentTypeDescription="Create a new document." ma:contentTypeScope="" ma:versionID="bb87ac5067d414186095f64407a5a87a">
  <xsd:schema xmlns:xsd="http://www.w3.org/2001/XMLSchema" xmlns:xs="http://www.w3.org/2001/XMLSchema" xmlns:p="http://schemas.microsoft.com/office/2006/metadata/properties" xmlns:ns2="72ff7dd5-fe5a-48dc-8a08-9101dd709437" xmlns:ns3="3d8df082-97e7-4233-abad-c4407e271e90" targetNamespace="http://schemas.microsoft.com/office/2006/metadata/properties" ma:root="true" ma:fieldsID="bbe74b771775e16ca4f28db9d50db442" ns2:_="" ns3:_="">
    <xsd:import namespace="72ff7dd5-fe5a-48dc-8a08-9101dd709437"/>
    <xsd:import namespace="3d8df082-97e7-4233-abad-c4407e271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7dd5-fe5a-48dc-8a08-9101dd709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df082-97e7-4233-abad-c4407e271e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a1e14-d58d-45ae-8895-e0eb6822efb6}" ma:internalName="TaxCatchAll" ma:showField="CatchAllData" ma:web="3d8df082-97e7-4233-abad-c4407e271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ff7dd5-fe5a-48dc-8a08-9101dd709437">
      <Terms xmlns="http://schemas.microsoft.com/office/infopath/2007/PartnerControls"/>
    </lcf76f155ced4ddcb4097134ff3c332f>
    <TaxCatchAll xmlns="3d8df082-97e7-4233-abad-c4407e271e90" xsi:nil="true"/>
    <_Flow_SignoffStatus xmlns="72ff7dd5-fe5a-48dc-8a08-9101dd709437" xsi:nil="true"/>
  </documentManagement>
</p:properties>
</file>

<file path=customXml/itemProps1.xml><?xml version="1.0" encoding="utf-8"?>
<ds:datastoreItem xmlns:ds="http://schemas.openxmlformats.org/officeDocument/2006/customXml" ds:itemID="{60C6B5BF-CF78-4603-8B8C-D6FF63C9DBEA}"/>
</file>

<file path=customXml/itemProps2.xml><?xml version="1.0" encoding="utf-8"?>
<ds:datastoreItem xmlns:ds="http://schemas.openxmlformats.org/officeDocument/2006/customXml" ds:itemID="{CCD89DF3-7AD7-45CB-9BFF-37B70A0BE81F}"/>
</file>

<file path=customXml/itemProps3.xml><?xml version="1.0" encoding="utf-8"?>
<ds:datastoreItem xmlns:ds="http://schemas.openxmlformats.org/officeDocument/2006/customXml" ds:itemID="{C4B40153-3C33-41D4-91A0-D24BC6251792}"/>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Angela Mosley-Monts</cp:lastModifiedBy>
  <cp:revision>2</cp:revision>
  <dcterms:created xsi:type="dcterms:W3CDTF">2024-08-07T19:28:00Z</dcterms:created>
  <dcterms:modified xsi:type="dcterms:W3CDTF">2024-08-07T19:28:00Z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0x010100AEEDEE41E971944FBCE8703B7C1554A6</vt:lpwstr>
  </property>
</Properties>
</file>